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Минздрава России от 25.02.2022 N 116н</w:t>
              <w:br/>
              <w:t xml:space="preserve">"Об утверждении стандарта медицинской помощи взрослым при глаукоме первичной закрытоугольной (диагностика, лечение и диспансерное наблюдение)"</w:t>
              <w:br/>
              <w:t xml:space="preserve">(Зарегистрировано в Минюсте России 04.04.2022 N 68044)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01.09.2026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4 апреля 2022 г. N 68044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ЗДРАВООХРАНЕНИЯ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25 февраля 2022 г. N 116н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СТАНДАРТА</w:t>
      </w:r>
    </w:p>
    <w:p>
      <w:pPr>
        <w:pStyle w:val="2"/>
        <w:jc w:val="center"/>
      </w:pPr>
      <w:r>
        <w:rPr>
          <w:sz w:val="24"/>
        </w:rPr>
        <w:t xml:space="preserve">МЕДИЦИНСКОЙ ПОМОЩИ ВЗРОСЛЫМ ПРИ ГЛАУКОМЕ ПЕРВИЧНОЙ</w:t>
      </w:r>
    </w:p>
    <w:p>
      <w:pPr>
        <w:pStyle w:val="2"/>
        <w:jc w:val="center"/>
      </w:pPr>
      <w:r>
        <w:rPr>
          <w:sz w:val="24"/>
        </w:rPr>
        <w:t xml:space="preserve">ЗАКРЫТОУГОЛЬНОЙ (ДИАГНОСТИКА, ЛЕЧЕНИЕ</w:t>
      </w:r>
    </w:p>
    <w:p>
      <w:pPr>
        <w:pStyle w:val="2"/>
        <w:jc w:val="center"/>
      </w:pPr>
      <w:r>
        <w:rPr>
          <w:sz w:val="24"/>
        </w:rPr>
        <w:t xml:space="preserve">И ДИСПАНСЕРНОЕ НАБЛЮДЕНИЕ)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пунктом 4 части 1 статьи 37</w:t>
        </w:r>
      </w:hyperlink>
      <w:r>
        <w:rPr>
          <w:sz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Российская газета, 2022, N 2) и </w:t>
      </w:r>
      <w:hyperlink w:history="0" r:id="rId9" w:tooltip="Постановление Правительства РФ от 19.06.2012 N 608 (ред. от 19.02.2026) &quot;Об утверждении Положения о Министерстве здравоохранения Российской Федерации&quot; (с изм. и доп., вступ. в силу с 01.03.2026) ------------ Недействующая редакция {КонсультантПлюс}">
        <w:r>
          <w:rPr>
            <w:sz w:val="24"/>
            <w:color w:val="0000ff"/>
          </w:rPr>
          <w:t xml:space="preserve">подпунктом 5.2.18</w:t>
        </w:r>
      </w:hyperlink>
      <w:r>
        <w:rPr>
          <w:sz w:val="24"/>
        </w:rPr>
        <w:t xml:space="preserve">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стандарт медицинской помощи взрослым при глаукоме первичной закрытоугольной (диагностика, лечение и диспансерное наблюдение) согласно </w:t>
      </w:r>
      <w:hyperlink w:history="0" w:anchor="P32" w:tooltip="СТАНДАРТ">
        <w:r>
          <w:rPr>
            <w:sz w:val="24"/>
            <w:color w:val="0000ff"/>
          </w:rPr>
          <w:t xml:space="preserve">приложению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силу:</w:t>
      </w:r>
    </w:p>
    <w:p>
      <w:pPr>
        <w:pStyle w:val="0"/>
        <w:spacing w:before="240" w:lineRule="auto"/>
        <w:ind w:firstLine="540"/>
        <w:jc w:val="both"/>
      </w:pPr>
      <w:hyperlink w:history="0" r:id="rId10" w:tooltip="Приказ Минздрава России от 24.12.2012 N 1412н &quot;Об утверждении стандарта специализированной медицинской помощи при остром приступе закрытоугольной глаукомы&quot; (Зарегистрировано в Минюсте России 21.05.2013 N 28457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24 декабря 2012 г. N 1412н "Об утверждении стандарта специализированной медицинской помощи при остром приступе закрытоугольной глаукомы" (зарегистрирован Министерством юстиции Российской Федерации 21 мая 2013 г., регистрационный N 28457);</w:t>
      </w:r>
    </w:p>
    <w:p>
      <w:pPr>
        <w:pStyle w:val="0"/>
        <w:spacing w:before="240" w:lineRule="auto"/>
        <w:ind w:firstLine="540"/>
        <w:jc w:val="both"/>
      </w:pPr>
      <w:hyperlink w:history="0" r:id="rId11" w:tooltip="Приказ Минздрава России от 24.12.2012 N 1483н &quot;Об утверждении стандарта первичной медико-санитарной помощи при остром приступе закрытоугольной глаукомы&quot; (Зарегистрировано в Минюсте России 12.03.2013 N 27627) ------------ Утратил силу или отменен {КонсультантПлюс}">
        <w:r>
          <w:rPr>
            <w:sz w:val="24"/>
            <w:color w:val="0000ff"/>
          </w:rPr>
          <w:t xml:space="preserve">приказ</w:t>
        </w:r>
      </w:hyperlink>
      <w:r>
        <w:rPr>
          <w:sz w:val="24"/>
        </w:rPr>
        <w:t xml:space="preserve"> Министерства здравоохранения Российской Федерации от 24 декабря 2012 г. N 1483н "Об утверждении стандарта первичной медико-санитарной помощи при остром приступе закрытоугольной глаукомы" (зарегистрирован Министерством юстиции Российской Федерации 12 марта 2013 г., регистрационный N 27627).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М.А.МУРАШКО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приказу Министерства здравоохранения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25 февраля 2022 г. N 116н</w:t>
      </w:r>
    </w:p>
    <w:p>
      <w:pPr>
        <w:pStyle w:val="0"/>
        <w:jc w:val="both"/>
      </w:pPr>
      <w:r>
        <w:rPr>
          <w:sz w:val="24"/>
        </w:rPr>
      </w:r>
    </w:p>
    <w:bookmarkStart w:id="32" w:name="P32"/>
    <w:bookmarkEnd w:id="32"/>
    <w:p>
      <w:pPr>
        <w:pStyle w:val="2"/>
        <w:jc w:val="center"/>
      </w:pPr>
      <w:r>
        <w:rPr>
          <w:sz w:val="24"/>
        </w:rPr>
        <w:t xml:space="preserve">СТАНДАРТ</w:t>
      </w:r>
    </w:p>
    <w:p>
      <w:pPr>
        <w:pStyle w:val="2"/>
        <w:jc w:val="center"/>
      </w:pPr>
      <w:r>
        <w:rPr>
          <w:sz w:val="24"/>
        </w:rPr>
        <w:t xml:space="preserve">МЕДИЦИНСКОЙ ПОМОЩИ ВЗРОСЛЫМ ПРИ ГЛАУКОМЕ ПЕРВИЧНОЙ</w:t>
      </w:r>
    </w:p>
    <w:p>
      <w:pPr>
        <w:pStyle w:val="2"/>
        <w:jc w:val="center"/>
      </w:pPr>
      <w:r>
        <w:rPr>
          <w:sz w:val="24"/>
        </w:rPr>
        <w:t xml:space="preserve">ЗАКРЫТОУГОЛЬНОЙ (ДИАГНОСТИКА, ЛЕЧЕНИЕ</w:t>
      </w:r>
    </w:p>
    <w:p>
      <w:pPr>
        <w:pStyle w:val="2"/>
        <w:jc w:val="center"/>
      </w:pPr>
      <w:r>
        <w:rPr>
          <w:sz w:val="24"/>
        </w:rPr>
        <w:t xml:space="preserve">И ДИСПАНСЕРНОЕ НАБЛЮДЕНИЕ)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  <w:t xml:space="preserve">Возрастная категория пациента: взрослые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Пол пациента: любой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Вид медицинской помощи: первичная медико-санитарная помощь, специализированная медицинская помощь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Условия оказания медицинской помощи: амбулаторно, в дневном стационаре, стационарно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Форма оказания медицинской помощи: неотложная, плановая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Фаза течения заболевания (состояния): вне зависимости от фазы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Стадия и (или) степень тяжести заболевания (состояния): вне зависимости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Осложнения: вне зависимости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Средняя продолжительность лечения законченного случая (количество дней): 365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Нозологические единицы (код по </w:t>
      </w:r>
      <w:hyperlink w:history="0" r:id="rId12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sz w:val="24"/>
            <w:color w:val="0000ff"/>
          </w:rPr>
          <w:t xml:space="preserve">МКБ X</w:t>
        </w:r>
      </w:hyperlink>
      <w:r>
        <w:rPr>
          <w:sz w:val="24"/>
        </w:rPr>
        <w:t xml:space="preserve"> </w:t>
      </w:r>
      <w:hyperlink w:history="0" w:anchor="P567" w:tooltip="&lt;1&gt; Международная статистическая классификация болезней и проблем, связанных со здоровьем, X пересмотра.">
        <w:r>
          <w:rPr>
            <w:sz w:val="24"/>
            <w:color w:val="0000ff"/>
          </w:rPr>
          <w:t xml:space="preserve">&lt;1&gt;</w:t>
        </w:r>
      </w:hyperlink>
      <w:r>
        <w:rPr>
          <w:sz w:val="24"/>
        </w:rPr>
        <w:t xml:space="preserve">):</w:t>
      </w:r>
    </w:p>
    <w:p>
      <w:pPr>
        <w:pStyle w:val="0"/>
        <w:spacing w:before="240" w:lineRule="auto"/>
        <w:jc w:val="both"/>
      </w:pPr>
      <w:r>
        <w:rPr>
          <w:sz w:val="24"/>
        </w:rPr>
        <w:t xml:space="preserve">H40.2 Первичная закрытоугольная глаукома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1. Медицинские услуги для диагностики заболевания, состояния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4252"/>
        <w:gridCol w:w="1531"/>
        <w:gridCol w:w="1531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1.1. Прием (осмотр, консультация) врача-специалиста</w:t>
            </w:r>
          </w:p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25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 </w:t>
            </w:r>
            <w:hyperlink w:history="0" w:anchor="P568" w:tooltip="&lt;2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">
              <w:r>
                <w:rPr>
                  <w:sz w:val="24"/>
                  <w:color w:val="0000ff"/>
                </w:rPr>
                <w:t xml:space="preserve">&lt;2&gt;</w:t>
              </w:r>
            </w:hyperlink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1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B01.029.001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врача-офтальмолога первичный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4252"/>
        <w:gridCol w:w="1531"/>
        <w:gridCol w:w="1531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1.2. Инструментальные методы исследования</w:t>
            </w:r>
          </w:p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25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1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A02.26.003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Офтальмоскопия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1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A02.26.015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Офтальмотонометрия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1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A03.26.002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Гониоскопия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1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A03.26.008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Рефрактометрия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1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A03.26.011.001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Ультразвуковая кератопахиметрия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1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A03.26.018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Биомикроскопия глазного дна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A03.26.019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Оптическое исследование сетчатки с помощью компьютерного анализатора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A03.26.020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Компьютерная периметрия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A04.26.004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Ультразвуковая биометрия глаза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0,0013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A04.26.007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Ультразвуковое сканирование переднего отдела глаза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2. Медицинские услуги для лечения заболевания, состояния и контроля за лечением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4252"/>
        <w:gridCol w:w="1531"/>
        <w:gridCol w:w="1531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2.1. Прием (осмотр, консультация) и наблюдение врача-специалиста</w:t>
            </w:r>
          </w:p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25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B01.029.001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врача-офтальмолога первичный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B01.029.002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Прием (осмотр, консультация) врача-офтальмолога повторный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B01.029.005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Ежедневный осмотр врачом-офтальмологом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0,071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B04.029.001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Диспансерный прием (осмотр, консультация) врача-офтальмолога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4252"/>
        <w:gridCol w:w="1531"/>
        <w:gridCol w:w="1531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2.2. Инструментальные методы исследования</w:t>
            </w:r>
          </w:p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25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A02.26.003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Офтальмоскопия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2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A02.26.015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Офтальмотонометрия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A03.26.002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Гониоскопия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A03.26.008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Рефрактометрия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0,093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A03.26.011.001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Ультразвуковая кератопахиметрия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A03.26.018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Биомикроскопия глазного дна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0,099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A03.26.019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Оптическое исследование сетчатки с помощью компьютерного анализатора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A03.26.020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Компьютерная периметрия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A04.26.004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Ультразвуковая биометрия глаза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0,024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A04.26.007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Ультразвуковое сканирование переднего отдела глаза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0,0095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A12.26.003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Суточная тонометрия глаза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0,048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4252"/>
        <w:gridCol w:w="1531"/>
        <w:gridCol w:w="1531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  <w:jc w:val="both"/>
            </w:pPr>
            <w:r>
              <w:rPr>
                <w:sz w:val="24"/>
              </w:rPr>
              <w:t xml:space="preserve">2.3. Хирургические, эндоскопические, эндоваскулярные и другие методы лечения, требующие анестезиологического и/или реаниматологического сопровождения</w:t>
            </w:r>
          </w:p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25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3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A16.26.060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Иридэктомия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0,0025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4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A16.26.070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Трабекулоэктомия (синустрабекулоэктомия)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4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A16.26.089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Витреоэктомия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42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A16.26.092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Экстракция хрусталика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0,0023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43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A16.26.093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Факоэмульсификация без интраокулярной линзы. Факофрагментация, факоаспирация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44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A16.26.130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Имплантация дренажа антиглаукоматозного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45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A22.26.005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Лазерная иридэктомия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0,091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46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A22.26.018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Лазерная транссклеральная циклокоагуляция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0,007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47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A22.26.023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Лазерная трабекулопластика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0,003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48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A24.26.005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Криоциклодеструкция цилиарного тела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0,0025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57"/>
        <w:gridCol w:w="4252"/>
        <w:gridCol w:w="1531"/>
        <w:gridCol w:w="1531"/>
      </w:tblGrid>
      <w:tr>
        <w:tc>
          <w:tcPr>
            <w:gridSpan w:val="4"/>
            <w:tcW w:w="9071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2.4. Немедикаментозные методы профилактики, лечения и медицинской реабилитации</w:t>
            </w:r>
          </w:p>
        </w:tc>
      </w:tr>
      <w:tr>
        <w:tc>
          <w:tcPr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 медицинской услуги</w:t>
            </w:r>
          </w:p>
        </w:tc>
        <w:tc>
          <w:tcPr>
            <w:tcW w:w="425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медицинской услуги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кратности применения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49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A16.26.120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Ревизия (нидлинг) фильтрационной подушечки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50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A21.26.002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Массаж глазного яблока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1757" w:type="dxa"/>
            <w:vAlign w:val="center"/>
          </w:tcPr>
          <w:p>
            <w:pPr>
              <w:pStyle w:val="0"/>
            </w:pPr>
            <w:hyperlink w:history="0" r:id="rId51" w:tooltip="Приказ Минздрава России от 13.10.2017 N 804н (ред. от 24.09.2020, с изм. от 26.10.2022) &quot;Об утверждении номенклатуры медицинских услуг&quot; (Зарегистрировано в Минюсте России 07.11.2017 N 48808) {КонсультантПлюс}">
              <w:r>
                <w:rPr>
                  <w:sz w:val="24"/>
                  <w:color w:val="0000ff"/>
                </w:rPr>
                <w:t xml:space="preserve">A23.26.001</w:t>
              </w:r>
            </w:hyperlink>
          </w:p>
        </w:tc>
        <w:tc>
          <w:tcPr>
            <w:tcW w:w="4252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Подбор очковой коррекции зрения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0,015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3. Перечень лекарственных препаратов для медицинского применения, зарегистрированных на территории Российской Федерации, с указанием средних суточных и курсовых доз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907"/>
        <w:gridCol w:w="2665"/>
        <w:gridCol w:w="1644"/>
        <w:gridCol w:w="1531"/>
        <w:gridCol w:w="737"/>
        <w:gridCol w:w="680"/>
        <w:gridCol w:w="907"/>
      </w:tblGrid>
      <w:tr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Код</w:t>
            </w:r>
          </w:p>
        </w:tc>
        <w:tc>
          <w:tcPr>
            <w:tcW w:w="266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Анатомо-терапевтическо-химическая классификация</w:t>
            </w:r>
          </w:p>
        </w:tc>
        <w:tc>
          <w:tcPr>
            <w:tcW w:w="164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лекарственного препарата </w:t>
            </w:r>
            <w:hyperlink w:history="0" w:anchor="P569" w:tooltip="&lt;3&gt; Международное непатентованное, или группировочное, или химическое, а в случаях их отсутствия - торговое наименование лекарственного препарата.">
              <w:r>
                <w:rPr>
                  <w:sz w:val="24"/>
                  <w:color w:val="0000ff"/>
                </w:rPr>
                <w:t xml:space="preserve">&lt;3&gt;</w:t>
              </w:r>
            </w:hyperlink>
          </w:p>
        </w:tc>
        <w:tc>
          <w:tcPr>
            <w:tcW w:w="153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Единицы измерения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ССД </w:t>
            </w:r>
            <w:hyperlink w:history="0" w:anchor="P570" w:tooltip="&lt;4&gt; Средняя суточная доза.">
              <w:r>
                <w:rPr>
                  <w:sz w:val="24"/>
                  <w:color w:val="0000ff"/>
                </w:rPr>
                <w:t xml:space="preserve">&lt;4&gt;</w:t>
              </w:r>
            </w:hyperlink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СКД </w:t>
            </w:r>
            <w:hyperlink w:history="0" w:anchor="P571" w:tooltip="&lt;5&gt; Средняя курсовая доза.">
              <w:r>
                <w:rPr>
                  <w:sz w:val="24"/>
                  <w:color w:val="0000ff"/>
                </w:rPr>
                <w:t xml:space="preserve">&lt;5&gt;</w:t>
              </w:r>
            </w:hyperlink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B05BC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Растворы с осмодиуретическим действием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Маннитол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0,00085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420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H02AB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Глюкокортикоиды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Дексаметазон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0,038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мг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J01DD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Цефалоспорины 3-го поколения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Цефотаксим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Цефтриаксон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J01GB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Другие аминогликозиды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Амикацин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Гентамицин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мг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1 120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Канамицин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0,0002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г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M01AB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Производные уксусной кислоты и родственные соединения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мг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225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Кеторолак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0,009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мг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90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S01AA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Антибиотики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Гентамицин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0,014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Тобрамицин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0,045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S01AE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Фторхинолоны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Левофлоксацин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0,015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S01BA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Кортикостероиды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Дексаметазон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S01BC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Нестероидные противовоспалительные препараты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Бромфенак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0,026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Диклофенак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0,026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0,6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S01EA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Симпатомиметики для лечения глаукомы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Бримонидин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S01EB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Парасимпатомиметики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Пилокарпин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S01EC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Ингибиторы карбоангидразы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Ацетазоламид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мг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182 500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Бринзоламид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Дорзоламид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109,5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S01ED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Бета-адреноблокаторы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Бетаксолол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Тимолол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0,3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73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S01EE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Аналоги простагландинов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Биматопрост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Латанопрост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0,04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Тафлупрост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0,13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Травопрост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36,5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S03AA</w:t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Противомикробные препараты</w:t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73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680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Офлоксацин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0,015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</w:t>
            </w:r>
          </w:p>
        </w:tc>
      </w:tr>
      <w:tr>
        <w:tc>
          <w:tcPr>
            <w:tcW w:w="90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2665" w:type="dxa"/>
            <w:vAlign w:val="center"/>
          </w:tcPr>
          <w:p>
            <w:pPr>
              <w:pStyle w:val="0"/>
            </w:pPr>
            <w:r>
              <w:rPr>
                <w:sz w:val="24"/>
              </w:rPr>
            </w:r>
          </w:p>
        </w:tc>
        <w:tc>
          <w:tcPr>
            <w:tcW w:w="1644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Ципрофлоксацин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0,03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мл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both"/>
      </w:pPr>
      <w:r>
        <w:rPr>
          <w:sz w:val="24"/>
        </w:rPr>
        <w:t xml:space="preserve">4. Виды лечебного питания, включая специализированные продукты лечебного питания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066"/>
        <w:gridCol w:w="1587"/>
        <w:gridCol w:w="1417"/>
      </w:tblGrid>
      <w:tr>
        <w:tc>
          <w:tcPr>
            <w:gridSpan w:val="3"/>
            <w:tcW w:w="9070" w:type="dxa"/>
          </w:tcPr>
          <w:p>
            <w:pPr>
              <w:pStyle w:val="0"/>
              <w:outlineLvl w:val="2"/>
            </w:pPr>
            <w:r>
              <w:rPr>
                <w:sz w:val="24"/>
              </w:rPr>
              <w:t xml:space="preserve">4.1. Лечебное питание</w:t>
            </w:r>
          </w:p>
        </w:tc>
      </w:tr>
      <w:tr>
        <w:tc>
          <w:tcPr>
            <w:tcW w:w="60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 вида лечебного питания</w:t>
            </w:r>
          </w:p>
        </w:tc>
        <w:tc>
          <w:tcPr>
            <w:tcW w:w="158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Усредненный показатель частоты предоставления</w:t>
            </w:r>
          </w:p>
        </w:tc>
        <w:tc>
          <w:tcPr>
            <w:tcW w:w="141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</w:tr>
      <w:tr>
        <w:tc>
          <w:tcPr>
            <w:tcW w:w="6066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Основной вариант стандартной диеты</w:t>
            </w:r>
          </w:p>
        </w:tc>
        <w:tc>
          <w:tcPr>
            <w:tcW w:w="158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0,054</w:t>
            </w:r>
          </w:p>
        </w:tc>
        <w:tc>
          <w:tcPr>
            <w:tcW w:w="141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--------------------------------</w:t>
      </w:r>
    </w:p>
    <w:bookmarkStart w:id="567" w:name="P567"/>
    <w:bookmarkEnd w:id="56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Международная статистическая </w:t>
      </w:r>
      <w:hyperlink w:history="0" r:id="rId52" w:tooltip="&quot;Международная статистическая классификация болезней и проблем, связанных со здоровьем (10-й пересмотр) (МКБ-10) (версия 2.27 от 02.09.2024)&quot; {КонсультантПлюс}">
        <w:r>
          <w:rPr>
            <w:sz w:val="24"/>
            <w:color w:val="0000ff"/>
          </w:rPr>
          <w:t xml:space="preserve">классификация</w:t>
        </w:r>
      </w:hyperlink>
      <w:r>
        <w:rPr>
          <w:sz w:val="24"/>
        </w:rPr>
        <w:t xml:space="preserve"> болезней и проблем, связанных со здоровьем, X пересмотра.</w:t>
      </w:r>
    </w:p>
    <w:bookmarkStart w:id="568" w:name="P568"/>
    <w:bookmarkEnd w:id="56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Вероятность предоставления медицинских услуг или назначения лекарственных препаратов для медицинского применения (медицинских изделий), включенных в стандарт медицинской помощи, которая может принимать значения от 0 до 1, где 1 означает, что данное мероприятие проводится 100% пациентов, соответствующих данной модели, а цифры менее 1 - указанному в стандарте медицинской помощи проценту пациентов, имеющих соответствующие медицинские показания.</w:t>
      </w:r>
    </w:p>
    <w:bookmarkStart w:id="569" w:name="P569"/>
    <w:bookmarkEnd w:id="56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&lt;3&gt; Международное непатентованное, или группировочное, или химическое, а в случаях их отсутствия - торговое наименование лекарственного препарата.</w:t>
      </w:r>
    </w:p>
    <w:bookmarkStart w:id="570" w:name="P570"/>
    <w:bookmarkEnd w:id="570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&lt;4&gt; Средняя суточная доза.</w:t>
      </w:r>
    </w:p>
    <w:bookmarkStart w:id="571" w:name="P571"/>
    <w:bookmarkEnd w:id="57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&lt;5&gt; Средняя курсовая доза.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Минздрава России от 25.02.2022 N 116н</w:t>
            <w:br/>
            <w:t>"Об утверждении стандарта медицинской помощи взрослым при глаукоме первично...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01.09.2026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41061&amp;date=01.09.2026&amp;dst=356&amp;field=134" TargetMode = "External"/><Relationship Id="rId9" Type="http://schemas.openxmlformats.org/officeDocument/2006/relationships/hyperlink" Target="https://login.consultant.ru/link/?req=doc&amp;base=LAW&amp;n=513229&amp;date=01.09.2026&amp;dst=100036&amp;field=134" TargetMode = "External"/><Relationship Id="rId10" Type="http://schemas.openxmlformats.org/officeDocument/2006/relationships/hyperlink" Target="https://login.consultant.ru/link/?req=doc&amp;base=LAW&amp;n=146924&amp;date=01.09.2026" TargetMode = "External"/><Relationship Id="rId11" Type="http://schemas.openxmlformats.org/officeDocument/2006/relationships/hyperlink" Target="https://login.consultant.ru/link/?req=doc&amp;base=LAW&amp;n=145958&amp;date=01.09.2026" TargetMode = "External"/><Relationship Id="rId12" Type="http://schemas.openxmlformats.org/officeDocument/2006/relationships/hyperlink" Target="https://login.consultant.ru/link/?req=doc&amp;base=EXP&amp;n=763941&amp;date=01.09.2026" TargetMode = "External"/><Relationship Id="rId13" Type="http://schemas.openxmlformats.org/officeDocument/2006/relationships/hyperlink" Target="https://login.consultant.ru/link/?req=doc&amp;base=LAW&amp;n=371416&amp;date=01.09.2026&amp;dst=119540&amp;field=134" TargetMode = "External"/><Relationship Id="rId14" Type="http://schemas.openxmlformats.org/officeDocument/2006/relationships/hyperlink" Target="https://login.consultant.ru/link/?req=doc&amp;base=LAW&amp;n=371416&amp;date=01.09.2026&amp;dst=100748&amp;field=134" TargetMode = "External"/><Relationship Id="rId15" Type="http://schemas.openxmlformats.org/officeDocument/2006/relationships/hyperlink" Target="https://login.consultant.ru/link/?req=doc&amp;base=LAW&amp;n=371416&amp;date=01.09.2026&amp;dst=100774&amp;field=134" TargetMode = "External"/><Relationship Id="rId16" Type="http://schemas.openxmlformats.org/officeDocument/2006/relationships/hyperlink" Target="https://login.consultant.ru/link/?req=doc&amp;base=LAW&amp;n=371416&amp;date=01.09.2026&amp;dst=100988&amp;field=134" TargetMode = "External"/><Relationship Id="rId17" Type="http://schemas.openxmlformats.org/officeDocument/2006/relationships/hyperlink" Target="https://login.consultant.ru/link/?req=doc&amp;base=LAW&amp;n=371416&amp;date=01.09.2026&amp;dst=101002&amp;field=134" TargetMode = "External"/><Relationship Id="rId18" Type="http://schemas.openxmlformats.org/officeDocument/2006/relationships/hyperlink" Target="https://login.consultant.ru/link/?req=doc&amp;base=LAW&amp;n=371416&amp;date=01.09.2026&amp;dst=101010&amp;field=134" TargetMode = "External"/><Relationship Id="rId19" Type="http://schemas.openxmlformats.org/officeDocument/2006/relationships/hyperlink" Target="https://login.consultant.ru/link/?req=doc&amp;base=LAW&amp;n=371416&amp;date=01.09.2026&amp;dst=101022&amp;field=134" TargetMode = "External"/><Relationship Id="rId20" Type="http://schemas.openxmlformats.org/officeDocument/2006/relationships/hyperlink" Target="https://login.consultant.ru/link/?req=doc&amp;base=LAW&amp;n=371416&amp;date=01.09.2026&amp;dst=101024&amp;field=134" TargetMode = "External"/><Relationship Id="rId21" Type="http://schemas.openxmlformats.org/officeDocument/2006/relationships/hyperlink" Target="https://login.consultant.ru/link/?req=doc&amp;base=LAW&amp;n=371416&amp;date=01.09.2026&amp;dst=101032&amp;field=134" TargetMode = "External"/><Relationship Id="rId22" Type="http://schemas.openxmlformats.org/officeDocument/2006/relationships/hyperlink" Target="https://login.consultant.ru/link/?req=doc&amp;base=LAW&amp;n=371416&amp;date=01.09.2026&amp;dst=101356&amp;field=134" TargetMode = "External"/><Relationship Id="rId23" Type="http://schemas.openxmlformats.org/officeDocument/2006/relationships/hyperlink" Target="https://login.consultant.ru/link/?req=doc&amp;base=LAW&amp;n=371416&amp;date=01.09.2026&amp;dst=101362&amp;field=134" TargetMode = "External"/><Relationship Id="rId24" Type="http://schemas.openxmlformats.org/officeDocument/2006/relationships/hyperlink" Target="https://login.consultant.ru/link/?req=doc&amp;base=LAW&amp;n=371416&amp;date=01.09.2026&amp;dst=119540&amp;field=134" TargetMode = "External"/><Relationship Id="rId25" Type="http://schemas.openxmlformats.org/officeDocument/2006/relationships/hyperlink" Target="https://login.consultant.ru/link/?req=doc&amp;base=LAW&amp;n=371416&amp;date=01.09.2026&amp;dst=119542&amp;field=134" TargetMode = "External"/><Relationship Id="rId26" Type="http://schemas.openxmlformats.org/officeDocument/2006/relationships/hyperlink" Target="https://login.consultant.ru/link/?req=doc&amp;base=LAW&amp;n=371416&amp;date=01.09.2026&amp;dst=119548&amp;field=134" TargetMode = "External"/><Relationship Id="rId27" Type="http://schemas.openxmlformats.org/officeDocument/2006/relationships/hyperlink" Target="https://login.consultant.ru/link/?req=doc&amp;base=LAW&amp;n=371416&amp;date=01.09.2026&amp;dst=120668&amp;field=134" TargetMode = "External"/><Relationship Id="rId28" Type="http://schemas.openxmlformats.org/officeDocument/2006/relationships/hyperlink" Target="https://login.consultant.ru/link/?req=doc&amp;base=LAW&amp;n=371416&amp;date=01.09.2026&amp;dst=100748&amp;field=134" TargetMode = "External"/><Relationship Id="rId29" Type="http://schemas.openxmlformats.org/officeDocument/2006/relationships/hyperlink" Target="https://login.consultant.ru/link/?req=doc&amp;base=LAW&amp;n=371416&amp;date=01.09.2026&amp;dst=100774&amp;field=134" TargetMode = "External"/><Relationship Id="rId30" Type="http://schemas.openxmlformats.org/officeDocument/2006/relationships/hyperlink" Target="https://login.consultant.ru/link/?req=doc&amp;base=LAW&amp;n=371416&amp;date=01.09.2026&amp;dst=100988&amp;field=134" TargetMode = "External"/><Relationship Id="rId31" Type="http://schemas.openxmlformats.org/officeDocument/2006/relationships/hyperlink" Target="https://login.consultant.ru/link/?req=doc&amp;base=LAW&amp;n=371416&amp;date=01.09.2026&amp;dst=101002&amp;field=134" TargetMode = "External"/><Relationship Id="rId32" Type="http://schemas.openxmlformats.org/officeDocument/2006/relationships/hyperlink" Target="https://login.consultant.ru/link/?req=doc&amp;base=LAW&amp;n=371416&amp;date=01.09.2026&amp;dst=101010&amp;field=134" TargetMode = "External"/><Relationship Id="rId33" Type="http://schemas.openxmlformats.org/officeDocument/2006/relationships/hyperlink" Target="https://login.consultant.ru/link/?req=doc&amp;base=LAW&amp;n=371416&amp;date=01.09.2026&amp;dst=101022&amp;field=134" TargetMode = "External"/><Relationship Id="rId34" Type="http://schemas.openxmlformats.org/officeDocument/2006/relationships/hyperlink" Target="https://login.consultant.ru/link/?req=doc&amp;base=LAW&amp;n=371416&amp;date=01.09.2026&amp;dst=101024&amp;field=134" TargetMode = "External"/><Relationship Id="rId35" Type="http://schemas.openxmlformats.org/officeDocument/2006/relationships/hyperlink" Target="https://login.consultant.ru/link/?req=doc&amp;base=LAW&amp;n=371416&amp;date=01.09.2026&amp;dst=101032&amp;field=134" TargetMode = "External"/><Relationship Id="rId36" Type="http://schemas.openxmlformats.org/officeDocument/2006/relationships/hyperlink" Target="https://login.consultant.ru/link/?req=doc&amp;base=LAW&amp;n=371416&amp;date=01.09.2026&amp;dst=101356&amp;field=134" TargetMode = "External"/><Relationship Id="rId37" Type="http://schemas.openxmlformats.org/officeDocument/2006/relationships/hyperlink" Target="https://login.consultant.ru/link/?req=doc&amp;base=LAW&amp;n=371416&amp;date=01.09.2026&amp;dst=101362&amp;field=134" TargetMode = "External"/><Relationship Id="rId38" Type="http://schemas.openxmlformats.org/officeDocument/2006/relationships/hyperlink" Target="https://login.consultant.ru/link/?req=doc&amp;base=LAW&amp;n=371416&amp;date=01.09.2026&amp;dst=106367&amp;field=134" TargetMode = "External"/><Relationship Id="rId39" Type="http://schemas.openxmlformats.org/officeDocument/2006/relationships/hyperlink" Target="https://login.consultant.ru/link/?req=doc&amp;base=LAW&amp;n=371416&amp;date=01.09.2026&amp;dst=111861&amp;field=134" TargetMode = "External"/><Relationship Id="rId40" Type="http://schemas.openxmlformats.org/officeDocument/2006/relationships/hyperlink" Target="https://login.consultant.ru/link/?req=doc&amp;base=LAW&amp;n=371416&amp;date=01.09.2026&amp;dst=111885&amp;field=134" TargetMode = "External"/><Relationship Id="rId41" Type="http://schemas.openxmlformats.org/officeDocument/2006/relationships/hyperlink" Target="https://login.consultant.ru/link/?req=doc&amp;base=LAW&amp;n=371416&amp;date=01.09.2026&amp;dst=111933&amp;field=134" TargetMode = "External"/><Relationship Id="rId42" Type="http://schemas.openxmlformats.org/officeDocument/2006/relationships/hyperlink" Target="https://login.consultant.ru/link/?req=doc&amp;base=LAW&amp;n=371416&amp;date=01.09.2026&amp;dst=111943&amp;field=134" TargetMode = "External"/><Relationship Id="rId43" Type="http://schemas.openxmlformats.org/officeDocument/2006/relationships/hyperlink" Target="https://login.consultant.ru/link/?req=doc&amp;base=LAW&amp;n=371416&amp;date=01.09.2026&amp;dst=111955&amp;field=134" TargetMode = "External"/><Relationship Id="rId44" Type="http://schemas.openxmlformats.org/officeDocument/2006/relationships/hyperlink" Target="https://login.consultant.ru/link/?req=doc&amp;base=LAW&amp;n=371416&amp;date=01.09.2026&amp;dst=112077&amp;field=134" TargetMode = "External"/><Relationship Id="rId45" Type="http://schemas.openxmlformats.org/officeDocument/2006/relationships/hyperlink" Target="https://login.consultant.ru/link/?req=doc&amp;base=LAW&amp;n=371416&amp;date=01.09.2026&amp;dst=114903&amp;field=134" TargetMode = "External"/><Relationship Id="rId46" Type="http://schemas.openxmlformats.org/officeDocument/2006/relationships/hyperlink" Target="https://login.consultant.ru/link/?req=doc&amp;base=LAW&amp;n=371416&amp;date=01.09.2026&amp;dst=114929&amp;field=134" TargetMode = "External"/><Relationship Id="rId47" Type="http://schemas.openxmlformats.org/officeDocument/2006/relationships/hyperlink" Target="https://login.consultant.ru/link/?req=doc&amp;base=LAW&amp;n=371416&amp;date=01.09.2026&amp;dst=114939&amp;field=134" TargetMode = "External"/><Relationship Id="rId48" Type="http://schemas.openxmlformats.org/officeDocument/2006/relationships/hyperlink" Target="https://login.consultant.ru/link/?req=doc&amp;base=LAW&amp;n=371416&amp;date=01.09.2026&amp;dst=115545&amp;field=134" TargetMode = "External"/><Relationship Id="rId49" Type="http://schemas.openxmlformats.org/officeDocument/2006/relationships/hyperlink" Target="https://login.consultant.ru/link/?req=doc&amp;base=LAW&amp;n=371416&amp;date=01.09.2026&amp;dst=112047&amp;field=134" TargetMode = "External"/><Relationship Id="rId50" Type="http://schemas.openxmlformats.org/officeDocument/2006/relationships/hyperlink" Target="https://login.consultant.ru/link/?req=doc&amp;base=LAW&amp;n=371416&amp;date=01.09.2026&amp;dst=114347&amp;field=134" TargetMode = "External"/><Relationship Id="rId51" Type="http://schemas.openxmlformats.org/officeDocument/2006/relationships/hyperlink" Target="https://login.consultant.ru/link/?req=doc&amp;base=LAW&amp;n=371416&amp;date=01.09.2026&amp;dst=115321&amp;field=134" TargetMode = "External"/><Relationship Id="rId52" Type="http://schemas.openxmlformats.org/officeDocument/2006/relationships/hyperlink" Target="https://login.consultant.ru/link/?req=doc&amp;base=EXP&amp;n=763941&amp;date=01.09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Минздрава России от 25.02.2022 N 116н
"Об утверждении стандарта медицинской помощи взрослым при глаукоме первичной закрытоугольной (диагностика, лечение и диспансерное наблюдение)"
(Зарегистрировано в Минюсте России 04.04.2022 N 68044)</dc:title>
  <dcterms:created xsi:type="dcterms:W3CDTF">2026-09-01T11:09:55Z</dcterms:created>
</cp:coreProperties>
</file>